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I. Preambule</w:t>
      </w:r>
    </w:p>
    <w:p w14:paraId="26D473B0" w14:textId="745589AC" w:rsidR="005C5A55" w:rsidRPr="000E5638" w:rsidRDefault="00A141FA" w:rsidP="00452341">
      <w:pPr>
        <w:spacing w:before="60" w:after="60"/>
        <w:jc w:val="both"/>
        <w:rPr>
          <w:rFonts w:ascii="Arial" w:hAnsi="Arial" w:cs="Arial"/>
          <w:b/>
          <w:kern w:val="1"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3B00BE" w:rsidRPr="003B00BE">
        <w:rPr>
          <w:rFonts w:ascii="Arial" w:hAnsi="Arial" w:cs="Arial"/>
          <w:b/>
          <w:kern w:val="1"/>
          <w:sz w:val="22"/>
          <w:szCs w:val="22"/>
        </w:rPr>
        <w:t xml:space="preserve">MŠ Kameňáček </w:t>
      </w:r>
      <w:r w:rsidR="003B00BE">
        <w:rPr>
          <w:rFonts w:ascii="Arial" w:hAnsi="Arial" w:cs="Arial"/>
          <w:b/>
          <w:kern w:val="1"/>
          <w:sz w:val="22"/>
          <w:szCs w:val="22"/>
        </w:rPr>
        <w:t>–</w:t>
      </w:r>
      <w:r w:rsidR="003B00BE" w:rsidRPr="003B00BE">
        <w:rPr>
          <w:rFonts w:ascii="Arial" w:hAnsi="Arial" w:cs="Arial"/>
          <w:b/>
          <w:kern w:val="1"/>
          <w:sz w:val="22"/>
          <w:szCs w:val="22"/>
        </w:rPr>
        <w:t xml:space="preserve">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271848D6" w14:textId="6CD2CEDD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A27B6B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17EB7CCD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 w:rsidR="00A27B6B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470E5A83" w14:textId="19A9339B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3B00BE" w:rsidRPr="00132471">
        <w:rPr>
          <w:rFonts w:ascii="Arial" w:hAnsi="Arial" w:cs="Arial"/>
        </w:rPr>
        <w:t>MŠ Kameňáček, Kamenná 1430/1, 400 03 Ústí nad Labem</w:t>
      </w:r>
      <w:r w:rsidR="003B00BE">
        <w:rPr>
          <w:rFonts w:ascii="Arial" w:hAnsi="Arial" w:cs="Arial"/>
        </w:rPr>
        <w:t xml:space="preserve"> </w:t>
      </w:r>
      <w:r w:rsidRPr="00FC25C6">
        <w:rPr>
          <w:rFonts w:ascii="Arial" w:hAnsi="Arial" w:cs="Arial"/>
        </w:rPr>
        <w:t>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</w:t>
      </w:r>
      <w:r w:rsidRPr="00E258B9">
        <w:rPr>
          <w:rFonts w:ascii="Arial" w:hAnsi="Arial" w:cs="Arial"/>
        </w:rPr>
        <w:lastRenderedPageBreak/>
        <w:t xml:space="preserve">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05BB9715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Místem plnění této Smlouvy je</w:t>
      </w:r>
      <w:r w:rsidR="003B00BE" w:rsidRPr="0019767F">
        <w:rPr>
          <w:rFonts w:ascii="Arial" w:hAnsi="Arial" w:cs="Arial"/>
          <w:sz w:val="22"/>
        </w:rPr>
        <w:t xml:space="preserve"> </w:t>
      </w:r>
      <w:r w:rsidR="003B00BE" w:rsidRPr="00132471">
        <w:rPr>
          <w:rFonts w:ascii="Arial" w:hAnsi="Arial" w:cs="Arial"/>
          <w:sz w:val="22"/>
        </w:rPr>
        <w:t>MŠ Kameňáček, Kamenná 1430/1, 400 03 Ústí nad Labem.</w:t>
      </w:r>
    </w:p>
    <w:p w14:paraId="1719BCAD" w14:textId="1B27DCD2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3B00BE">
        <w:rPr>
          <w:rFonts w:ascii="Arial" w:hAnsi="Arial" w:cs="Arial"/>
          <w:b/>
          <w:sz w:val="22"/>
          <w:szCs w:val="22"/>
        </w:rPr>
        <w:t>4</w:t>
      </w:r>
      <w:r w:rsidR="009F646F">
        <w:rPr>
          <w:rFonts w:ascii="Arial" w:hAnsi="Arial" w:cs="Arial"/>
          <w:b/>
          <w:sz w:val="22"/>
          <w:szCs w:val="22"/>
        </w:rPr>
        <w:t xml:space="preserve">. </w:t>
      </w:r>
      <w:r w:rsidR="003B00BE">
        <w:rPr>
          <w:rFonts w:ascii="Arial" w:hAnsi="Arial" w:cs="Arial"/>
          <w:b/>
          <w:sz w:val="22"/>
          <w:szCs w:val="22"/>
        </w:rPr>
        <w:t>8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3B00BE">
        <w:rPr>
          <w:rFonts w:ascii="Arial" w:hAnsi="Arial" w:cs="Arial"/>
          <w:b/>
          <w:sz w:val="22"/>
          <w:szCs w:val="22"/>
        </w:rPr>
        <w:t>22</w:t>
      </w:r>
      <w:r w:rsidR="009F646F">
        <w:rPr>
          <w:rFonts w:ascii="Arial" w:hAnsi="Arial" w:cs="Arial"/>
          <w:b/>
          <w:sz w:val="22"/>
          <w:szCs w:val="22"/>
        </w:rPr>
        <w:t xml:space="preserve">. </w:t>
      </w:r>
      <w:r w:rsidR="003B00BE">
        <w:rPr>
          <w:rFonts w:ascii="Arial" w:hAnsi="Arial" w:cs="Arial"/>
          <w:b/>
          <w:sz w:val="22"/>
          <w:szCs w:val="22"/>
        </w:rPr>
        <w:t>8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53F8692A" w14:textId="5CDC080D" w:rsidR="00A141FA" w:rsidRPr="000E5638" w:rsidRDefault="00A141FA" w:rsidP="000E5638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</w:t>
      </w:r>
      <w:proofErr w:type="gramStart"/>
      <w:r w:rsidRPr="00452341">
        <w:rPr>
          <w:rFonts w:ascii="Arial" w:hAnsi="Arial" w:cs="Arial"/>
          <w:b/>
          <w:sz w:val="22"/>
          <w:szCs w:val="22"/>
        </w:rPr>
        <w:t>výši  …</w:t>
      </w:r>
      <w:proofErr w:type="gramEnd"/>
      <w:r w:rsidRPr="00452341">
        <w:rPr>
          <w:rFonts w:ascii="Arial" w:hAnsi="Arial" w:cs="Arial"/>
          <w:b/>
          <w:sz w:val="22"/>
          <w:szCs w:val="22"/>
        </w:rPr>
        <w:t>… …</w:t>
      </w:r>
      <w:proofErr w:type="gramStart"/>
      <w:r w:rsidRPr="00452341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452341">
        <w:rPr>
          <w:rFonts w:ascii="Arial" w:hAnsi="Arial" w:cs="Arial"/>
          <w:b/>
          <w:sz w:val="22"/>
          <w:szCs w:val="22"/>
        </w:rPr>
        <w:t xml:space="preserve">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452341">
        <w:rPr>
          <w:rFonts w:ascii="Arial" w:hAnsi="Arial" w:cs="Arial"/>
          <w:sz w:val="22"/>
          <w:szCs w:val="22"/>
        </w:rPr>
        <w:t>…….</w:t>
      </w:r>
      <w:proofErr w:type="gramEnd"/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</w:t>
      </w:r>
      <w:proofErr w:type="gramStart"/>
      <w:r w:rsidRPr="00452341">
        <w:rPr>
          <w:rFonts w:ascii="Arial" w:hAnsi="Arial" w:cs="Arial"/>
          <w:sz w:val="22"/>
          <w:szCs w:val="22"/>
        </w:rPr>
        <w:t>…….</w:t>
      </w:r>
      <w:proofErr w:type="gramEnd"/>
      <w:r w:rsidRPr="00452341">
        <w:rPr>
          <w:rFonts w:ascii="Arial" w:hAnsi="Arial" w:cs="Arial"/>
          <w:sz w:val="22"/>
          <w:szCs w:val="22"/>
        </w:rPr>
        <w:t>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lastRenderedPageBreak/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0120A365" w14:textId="7DA7A26F" w:rsidR="00A27B6B" w:rsidRPr="00886C63" w:rsidRDefault="00A141FA" w:rsidP="00886C63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7A8B1A89" w14:textId="77777777" w:rsidR="00A141FA" w:rsidRPr="00D06421" w:rsidRDefault="00A141FA" w:rsidP="003B00BE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261A63F9" w14:textId="59FEB379" w:rsidR="00A141FA" w:rsidRPr="00886C63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4C63565E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této Smlouvy.</w:t>
      </w:r>
      <w:bookmarkEnd w:id="8"/>
    </w:p>
    <w:p w14:paraId="4E674130" w14:textId="0BA2089C" w:rsidR="003B00BE" w:rsidRPr="00886C63" w:rsidRDefault="00A141FA" w:rsidP="00886C63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</w:t>
      </w:r>
      <w:r w:rsidR="00A27B6B">
        <w:rPr>
          <w:rFonts w:ascii="Arial" w:hAnsi="Arial" w:cs="Arial"/>
          <w:sz w:val="22"/>
          <w:szCs w:val="22"/>
        </w:rPr>
        <w:t>.</w:t>
      </w:r>
      <w:r w:rsidRPr="00311197"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1B947F4E" w14:textId="77777777" w:rsidR="003B00BE" w:rsidRPr="003B00BE" w:rsidRDefault="003B00BE" w:rsidP="003B00BE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1A164414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 w:rsidR="00A27B6B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68DCD9AE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povinen nahradit škodu, která vznikla v důsledku věcně nesprávného nebo jinak chybného pokynu Objednatele v případě, že na nesprávnost takového pokynu Objednatele upozornil v souladu s čl. VI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7689608E" w14:textId="0E306663" w:rsidR="00D06421" w:rsidRPr="00886C63" w:rsidRDefault="00A141FA" w:rsidP="00886C63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7B97DC33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stanovený v čl. IV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5154710C" w14:textId="428B47ED" w:rsidR="005C5A55" w:rsidRPr="003B00BE" w:rsidRDefault="00A141FA" w:rsidP="003B00BE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6BD3967C" w14:textId="4EDC5376" w:rsidR="005C5A55" w:rsidRDefault="00A141FA" w:rsidP="00A27B6B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0F2E647E" w14:textId="77777777" w:rsidR="006F0256" w:rsidRDefault="006F0256" w:rsidP="00886C63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0651FE3D" w14:textId="77777777" w:rsidR="00886C63" w:rsidRPr="006F0256" w:rsidRDefault="00886C63" w:rsidP="00886C63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0BE78844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poruší-li Zhotovitel povinnosti stanovené v čl. VI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9FD4480" w14:textId="77777777" w:rsidR="005C5A55" w:rsidRDefault="005C5A55" w:rsidP="003B00B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32C9CE38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 w:rsidR="003B00B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3EAD030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0834725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720F27B4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3E722B6A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1E25DEE5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3B906FF8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17DF11C" w14:textId="77777777" w:rsidR="000E5638" w:rsidRDefault="000E5638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2F245FDA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</w:t>
      </w:r>
      <w:proofErr w:type="gramStart"/>
      <w:r w:rsidRPr="00921330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921330">
        <w:rPr>
          <w:rFonts w:ascii="Arial" w:hAnsi="Arial" w:cs="Arial"/>
          <w:sz w:val="22"/>
          <w:szCs w:val="22"/>
          <w:lang w:eastAsia="cs-CZ"/>
        </w:rPr>
        <w:t>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36EF6F8A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300451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8B51EC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0E4DCBC0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895B59">
              <w:rPr>
                <w:rFonts w:ascii="Arial" w:eastAsia="Calibri" w:hAnsi="Arial" w:cs="Arial"/>
                <w:sz w:val="22"/>
                <w:szCs w:val="22"/>
              </w:rPr>
              <w:t>2045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2C00" w14:textId="77777777" w:rsidR="00984C05" w:rsidRDefault="00984C05" w:rsidP="00777310">
      <w:r>
        <w:separator/>
      </w:r>
    </w:p>
  </w:endnote>
  <w:endnote w:type="continuationSeparator" w:id="0">
    <w:p w14:paraId="2272FAC2" w14:textId="77777777" w:rsidR="00984C05" w:rsidRDefault="00984C05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902669"/>
      <w:docPartObj>
        <w:docPartGallery w:val="Page Numbers (Bottom of Page)"/>
        <w:docPartUnique/>
      </w:docPartObj>
    </w:sdtPr>
    <w:sdtContent>
      <w:p w14:paraId="2F059B29" w14:textId="0FF3C0FD" w:rsidR="00A27B6B" w:rsidRDefault="00A27B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D6F19" w14:textId="77777777" w:rsidR="00A27B6B" w:rsidRDefault="00A27B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843F" w14:textId="77777777" w:rsidR="00984C05" w:rsidRDefault="00984C05" w:rsidP="00777310">
      <w:r>
        <w:separator/>
      </w:r>
    </w:p>
  </w:footnote>
  <w:footnote w:type="continuationSeparator" w:id="0">
    <w:p w14:paraId="43B15A5D" w14:textId="77777777" w:rsidR="00984C05" w:rsidRDefault="00984C05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OITDaVk2Rqef4O68eodPK5mLy53taNHQLeKURF6ijr9EBjd3eT4vOm0ZrA+1XImxnFwSEQDFUebnUeVjdl8TQ==" w:salt="jbWsB+ppKGJALt9CE0B4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3379A"/>
    <w:rsid w:val="00040930"/>
    <w:rsid w:val="000C05AA"/>
    <w:rsid w:val="000E5638"/>
    <w:rsid w:val="000F4777"/>
    <w:rsid w:val="00124A45"/>
    <w:rsid w:val="00127072"/>
    <w:rsid w:val="00166E3F"/>
    <w:rsid w:val="0017077D"/>
    <w:rsid w:val="001722E6"/>
    <w:rsid w:val="00172388"/>
    <w:rsid w:val="00187124"/>
    <w:rsid w:val="001B3902"/>
    <w:rsid w:val="001B7E99"/>
    <w:rsid w:val="001D3AB4"/>
    <w:rsid w:val="001E26AD"/>
    <w:rsid w:val="001E5E88"/>
    <w:rsid w:val="00210E8D"/>
    <w:rsid w:val="00252413"/>
    <w:rsid w:val="00260157"/>
    <w:rsid w:val="00275E3E"/>
    <w:rsid w:val="002A015B"/>
    <w:rsid w:val="002C07B5"/>
    <w:rsid w:val="00300451"/>
    <w:rsid w:val="00304B40"/>
    <w:rsid w:val="00305F67"/>
    <w:rsid w:val="003333E3"/>
    <w:rsid w:val="00360F5C"/>
    <w:rsid w:val="00394A6A"/>
    <w:rsid w:val="003A3EBC"/>
    <w:rsid w:val="003B00BE"/>
    <w:rsid w:val="003C006B"/>
    <w:rsid w:val="003D302F"/>
    <w:rsid w:val="003F0821"/>
    <w:rsid w:val="00400CE3"/>
    <w:rsid w:val="004028AB"/>
    <w:rsid w:val="00452341"/>
    <w:rsid w:val="004A297F"/>
    <w:rsid w:val="004B42B4"/>
    <w:rsid w:val="004B5C6E"/>
    <w:rsid w:val="004C11D3"/>
    <w:rsid w:val="005A4D5D"/>
    <w:rsid w:val="005C5A55"/>
    <w:rsid w:val="00603644"/>
    <w:rsid w:val="0064336F"/>
    <w:rsid w:val="00665CD3"/>
    <w:rsid w:val="006F0256"/>
    <w:rsid w:val="00756F28"/>
    <w:rsid w:val="00762851"/>
    <w:rsid w:val="00777310"/>
    <w:rsid w:val="00791298"/>
    <w:rsid w:val="007A177E"/>
    <w:rsid w:val="007B49DE"/>
    <w:rsid w:val="007B6C14"/>
    <w:rsid w:val="007D1B61"/>
    <w:rsid w:val="007E2A05"/>
    <w:rsid w:val="00882526"/>
    <w:rsid w:val="00886C63"/>
    <w:rsid w:val="00890854"/>
    <w:rsid w:val="00895B59"/>
    <w:rsid w:val="008E2F38"/>
    <w:rsid w:val="008F04E7"/>
    <w:rsid w:val="00913D32"/>
    <w:rsid w:val="0092706F"/>
    <w:rsid w:val="0094135C"/>
    <w:rsid w:val="00952F89"/>
    <w:rsid w:val="00984C05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27B6B"/>
    <w:rsid w:val="00A37F13"/>
    <w:rsid w:val="00AB65AC"/>
    <w:rsid w:val="00AC16E8"/>
    <w:rsid w:val="00AE6888"/>
    <w:rsid w:val="00B210B9"/>
    <w:rsid w:val="00B33CE2"/>
    <w:rsid w:val="00B55C00"/>
    <w:rsid w:val="00B744F2"/>
    <w:rsid w:val="00BC04D4"/>
    <w:rsid w:val="00BF0E94"/>
    <w:rsid w:val="00C3713C"/>
    <w:rsid w:val="00C94086"/>
    <w:rsid w:val="00CF53AB"/>
    <w:rsid w:val="00D06421"/>
    <w:rsid w:val="00D11FA4"/>
    <w:rsid w:val="00D35D66"/>
    <w:rsid w:val="00D43B7B"/>
    <w:rsid w:val="00DA01BF"/>
    <w:rsid w:val="00E0019E"/>
    <w:rsid w:val="00E36D7B"/>
    <w:rsid w:val="00E41171"/>
    <w:rsid w:val="00E50275"/>
    <w:rsid w:val="00E56AAC"/>
    <w:rsid w:val="00EB00A8"/>
    <w:rsid w:val="00EC1224"/>
    <w:rsid w:val="00F17000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4208</Words>
  <Characters>24833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Kadeřábková Tereza, Ing.</cp:lastModifiedBy>
  <cp:revision>15</cp:revision>
  <cp:lastPrinted>2024-06-26T07:35:00Z</cp:lastPrinted>
  <dcterms:created xsi:type="dcterms:W3CDTF">2025-05-23T10:51:00Z</dcterms:created>
  <dcterms:modified xsi:type="dcterms:W3CDTF">2025-06-17T06:28:00Z</dcterms:modified>
</cp:coreProperties>
</file>